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Ultragenyx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7,796,895.00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7,796,895.00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7,796,895.00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7,796,895.00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7,796,895.00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7,796,895.00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Ultragenyx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Leveroni Court, Novato, CA, 94949.</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shares of Common Stock, par value $0.001 per share (the "Shares") of Ultragenyx Pharmaceutical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percentages set forth in Row 11 of the cover pages are calculated based upon 98,489,224 Shares outstanding as of May 1, 2026 as reported in the Company's Quarterly Report on Form 10-Q filed with the Securities and Exchange Commission on May 6,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7.9% Dr. Wong: 7.9%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7,796,895 Shares Dr. Wong: 7,796,895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7,796,895 Shares Dr. Wong: 7,796,895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See Item 2. The RTW Funds have the right to receive or the power to direct the receipt of dividends from, or the proceeds from the sale of, the Shares reported herein.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 xml:space="preserve">Exhibit 99.1 Joint Filing Agreement </w:t>
            </w:r>
          </w:p>
        </w:tc>
      </w:tr>
    </w:tbl>
    <w:p>
      <w:pPr>
        <w:pStyle w:val="TextBody"/>
        <w:pBdr/>
        <w:bidi w:val="0"/>
        <w:spacing w:before="0" w:after="255"/>
        <w:jc w:val="center"/>
        <w:rPr>
          <w:b/>
          <w:sz w:val="22"/>
        </w:rPr>
      </w:pPr>
      <w:bookmarkStart w:id="20" w:name="ex-99-08142026_120813.htm"/>
      <w:bookmarkStart w:id="21" w:name="ksex9908142026_120813"/>
      <w:bookmarkEnd w:id="20"/>
      <w:bookmarkEnd w:id="21"/>
      <w:r>
        <w:rPr>
          <w:b/>
          <w:sz w:val="22"/>
        </w:rPr>
        <w:t>EXHIBIT 99.1</w:t>
      </w:r>
      <w:r>
        <w:br w:type="page"/>
      </w:r>
    </w:p>
    <w:p>
      <w:pPr>
        <w:pStyle w:val="TextBody"/>
        <w:pBdr/>
        <w:bidi w:val="0"/>
        <w:spacing w:before="0" w:after="0"/>
        <w:ind w:left="0" w:right="0" w:hanging="0"/>
        <w:jc w:val="center"/>
        <w:rPr>
          <w:b/>
          <w:sz w:val="22"/>
        </w:rPr>
      </w:pPr>
      <w:r>
        <w:rPr>
          <w:b/>
          <w:sz w:val="22"/>
        </w:rPr>
        <w:t>JOINT FILING AGREEMENT</w:t>
      </w:r>
    </w:p>
    <w:p>
      <w:pPr>
        <w:pStyle w:val="TextBody"/>
        <w:pBdr/>
        <w:bidi w:val="0"/>
        <w:spacing w:before="0" w:after="255"/>
        <w:jc w:val="center"/>
        <w:rPr>
          <w:b/>
          <w:sz w:val="22"/>
        </w:rPr>
      </w:pPr>
      <w:r>
        <w:rPr>
          <w:b/>
          <w:sz w:val="22"/>
        </w:rPr>
        <w:t xml:space="preserve">PURSUANT TO RULE 13(d)-1(k) </w:t>
      </w:r>
    </w:p>
    <w:p>
      <w:pPr>
        <w:pStyle w:val="TextBody"/>
        <w:bidi w:val="0"/>
        <w:spacing w:before="0" w:after="0"/>
        <w:ind w:left="0" w:right="0" w:hanging="0"/>
        <w:jc w:val="left"/>
        <w:rPr>
          <w:sz w:val="22"/>
        </w:rPr>
      </w:pPr>
      <w:r>
        <w:rPr>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left"/>
        <w:rPr/>
      </w:pPr>
      <w:r>
        <w:rPr/>
      </w:r>
    </w:p>
    <w:p>
      <w:pPr>
        <w:pStyle w:val="TextBody"/>
        <w:bidi w:val="0"/>
        <w:spacing w:before="0" w:after="255"/>
        <w:jc w:val="left"/>
        <w:rPr>
          <w:sz w:val="22"/>
        </w:rPr>
      </w:pPr>
      <w:r>
        <w:rPr>
          <w:sz w:val="22"/>
        </w:rPr>
        <w:t>Dated:  August 14, 2026</w:t>
      </w:r>
    </w:p>
    <w:p>
      <w:pPr>
        <w:pStyle w:val="TextBody"/>
        <w:bidi w:val="0"/>
        <w:spacing w:before="0" w:after="0"/>
        <w:ind w:left="0" w:right="0" w:hanging="0"/>
        <w:jc w:val="left"/>
        <w:rPr>
          <w:b/>
          <w:sz w:val="22"/>
        </w:rPr>
      </w:pPr>
      <w:r>
        <w:rPr>
          <w:b/>
          <w:sz w:val="22"/>
        </w:rPr>
        <w:t>RTW Investments, LP</w: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Roderick Wong, M.D.</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85750" cy="160655"/>
                <wp:effectExtent l="0" t="0" r="0" b="0"/>
                <wp:wrapSquare wrapText="right"/>
                <wp:docPr id="21" name="Frame1"/>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Roderick Wong, M.D.</w:t>
      </w:r>
    </w:p>
    <w:p>
      <w:pPr>
        <w:pStyle w:val="TextBody"/>
        <w:bidi w:val="0"/>
        <w:spacing w:before="0" w:after="0"/>
        <w:ind w:left="0" w:right="0" w:firstLine="450"/>
        <w:jc w:val="left"/>
        <w:rPr>
          <w:sz w:val="22"/>
        </w:rPr>
      </w:pPr>
      <w:r>
        <w:rPr>
          <w:sz w:val="22"/>
        </w:rPr>
        <w:t>Title:  Managing Partner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Roderick Wong, M.D.</w:t>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/s/ Roderick Wong, M.D.</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1402</Words>
  <Characters>7174</Characters>
  <CharactersWithSpaces>8539</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