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re-20260819.htm"/>
      <w:bookmarkStart w:id="1" w:name="ksrare20260819"/>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sans-serif" w:hAnsi="sans-serif"/>
          <w:b/>
          <w:color w:val="000000"/>
          <w:sz w:val="36"/>
        </w:rPr>
        <w:t>UNITED STATES</w:t>
        <w:br/>
        <w:t>SECURITIES AND EXCHANGE COMMISSION</w:t>
        <w:br/>
      </w:r>
      <w:r>
        <w:rPr>
          <w:rFonts w:ascii="sans-serif" w:hAnsi="sans-serif"/>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sans-serif" w:hAnsi="sans-serif"/>
          <w:color w:val="000000"/>
          <w:sz w:val="36"/>
        </w:rPr>
        <w:t xml:space="preserve">FORM </w:t>
      </w:r>
      <w:r>
        <w:rPr>
          <w:rFonts w:ascii="sans-serif" w:hAnsi="sans-serif"/>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sans-serif" w:hAnsi="sans-serif"/>
          <w:b/>
          <w:color w:val="000000"/>
          <w:sz w:val="24"/>
        </w:rPr>
      </w:pPr>
      <w:r>
        <w:rPr>
          <w:rFonts w:ascii="sans-serif" w:hAnsi="sans-serif"/>
          <w:b/>
          <w:color w:val="000000"/>
          <w:sz w:val="24"/>
        </w:rPr>
        <w:t>CURRENT REPORT</w:t>
      </w:r>
    </w:p>
    <w:p>
      <w:pPr>
        <w:pStyle w:val="TextBody"/>
        <w:bidi w:val="0"/>
        <w:spacing w:before="180" w:after="12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7441" w:type="dxa"/>
        <w:jc w:val="left"/>
        <w:tblInd w:w="0" w:type="dxa"/>
        <w:tblLayout w:type="fixed"/>
        <w:tblCellMar>
          <w:top w:w="28" w:type="dxa"/>
          <w:left w:w="28" w:type="dxa"/>
          <w:bottom w:w="28" w:type="dxa"/>
          <w:right w:w="28" w:type="dxa"/>
        </w:tblCellMar>
      </w:tblPr>
      <w:tblGrid>
        <w:gridCol w:w="7441"/>
      </w:tblGrid>
      <w:tr>
        <w:trPr/>
        <w:tc>
          <w:tcPr>
            <w:tcW w:w="7441" w:type="dxa"/>
            <w:tcBorders/>
            <w:vAlign w:val="center"/>
          </w:tcPr>
          <w:p>
            <w:pPr>
              <w:pStyle w:val="TableContents"/>
              <w:bidi w:val="0"/>
              <w:spacing w:before="0" w:after="283"/>
              <w:jc w:val="left"/>
              <w:rPr>
                <w:sz w:val="4"/>
                <w:szCs w:val="4"/>
              </w:rPr>
            </w:pPr>
            <w:r>
              <w:rPr>
                <w:sz w:val="4"/>
                <w:szCs w:val="4"/>
              </w:rPr>
            </w:r>
          </w:p>
        </w:tc>
      </w:tr>
      <w:tr>
        <w:trPr/>
        <w:tc>
          <w:tcPr>
            <w:tcW w:w="74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of Report (Date of earliest event reported): August 19,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sans-serif" w:hAnsi="sans-serif"/>
          <w:b/>
          <w:color w:val="000000"/>
          <w:sz w:val="48"/>
        </w:rPr>
      </w:pPr>
      <w:r>
        <w:rPr>
          <w:rFonts w:ascii="sans-serif" w:hAnsi="sans-serif"/>
          <w:b/>
          <w:color w:val="000000"/>
          <w:sz w:val="48"/>
        </w:rPr>
        <w:t>Ultragenyx Pharmaceutical Inc.</w:t>
      </w:r>
    </w:p>
    <w:p>
      <w:pPr>
        <w:pStyle w:val="TextBody"/>
        <w:bidi w:val="0"/>
        <w:spacing w:before="60" w:after="283"/>
        <w:jc w:val="center"/>
        <w:rPr>
          <w:rFonts w:ascii="sans-serif" w:hAnsi="sans-serif"/>
          <w:b/>
          <w:color w:val="000000"/>
          <w:sz w:val="15"/>
        </w:rPr>
      </w:pPr>
      <w:r>
        <w:rPr>
          <w:rFonts w:ascii="sans-serif" w:hAnsi="sans-serif"/>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411" w:type="dxa"/>
        <w:jc w:val="left"/>
        <w:tblInd w:w="0" w:type="dxa"/>
        <w:tblLayout w:type="fixed"/>
        <w:tblCellMar>
          <w:top w:w="28" w:type="dxa"/>
          <w:left w:w="28" w:type="dxa"/>
          <w:bottom w:w="28" w:type="dxa"/>
          <w:right w:w="28" w:type="dxa"/>
        </w:tblCellMar>
      </w:tblPr>
      <w:tblGrid>
        <w:gridCol w:w="1216"/>
        <w:gridCol w:w="1104"/>
        <w:gridCol w:w="1114"/>
        <w:gridCol w:w="2296"/>
        <w:gridCol w:w="1681"/>
      </w:tblGrid>
      <w:tr>
        <w:trPr/>
        <w:tc>
          <w:tcPr>
            <w:tcW w:w="121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001-36276</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27-2546083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(State or Other Jurisdiction</w:t>
              <w:br/>
              <w:t>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(Commission File Number)</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(IRS Employer</w:t>
              <w:br/>
              <w:t>Identification No.)</w:t>
            </w:r>
          </w:p>
        </w:tc>
      </w:tr>
      <w:tr>
        <w:trPr/>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60 Leveroni Court</w:t>
            </w:r>
          </w:p>
        </w:tc>
        <w:tc>
          <w:tcPr>
            <w:tcW w:w="39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Novato, California</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94949</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(Zip Code)</w:t>
            </w:r>
          </w:p>
        </w:tc>
      </w:tr>
    </w:tbl>
    <w:p>
      <w:pPr>
        <w:pStyle w:val="TextBody"/>
        <w:bidi w:val="0"/>
        <w:jc w:val="left"/>
        <w:rPr/>
      </w:pPr>
      <w:r>
        <w:rPr/>
        <w:t> </w:t>
      </w:r>
    </w:p>
    <w:tbl>
      <w:tblPr>
        <w:tblW w:w="7606" w:type="dxa"/>
        <w:jc w:val="left"/>
        <w:tblInd w:w="0" w:type="dxa"/>
        <w:tblLayout w:type="fixed"/>
        <w:tblCellMar>
          <w:top w:w="28" w:type="dxa"/>
          <w:left w:w="28" w:type="dxa"/>
          <w:bottom w:w="28" w:type="dxa"/>
          <w:right w:w="28" w:type="dxa"/>
        </w:tblCellMar>
      </w:tblPr>
      <w:tblGrid>
        <w:gridCol w:w="7606"/>
      </w:tblGrid>
      <w:tr>
        <w:trPr/>
        <w:tc>
          <w:tcPr>
            <w:tcW w:w="7606" w:type="dxa"/>
            <w:tcBorders/>
            <w:vAlign w:val="center"/>
          </w:tcPr>
          <w:p>
            <w:pPr>
              <w:pStyle w:val="TableContents"/>
              <w:bidi w:val="0"/>
              <w:spacing w:before="0" w:after="283"/>
              <w:jc w:val="left"/>
              <w:rPr>
                <w:sz w:val="4"/>
                <w:szCs w:val="4"/>
              </w:rPr>
            </w:pPr>
            <w:r>
              <w:rPr>
                <w:sz w:val="4"/>
                <w:szCs w:val="4"/>
              </w:rPr>
            </w:r>
          </w:p>
        </w:tc>
      </w:tr>
      <w:tr>
        <w:trPr/>
        <w:tc>
          <w:tcPr>
            <w:tcW w:w="7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Registrant’s Telephone Number, Including Area Code:</w:t>
            </w:r>
            <w:r>
              <w:rPr>
                <w:rFonts w:ascii="Times New Roman" w:hAnsi="Times New Roman"/>
                <w:color w:val="000000"/>
                <w:sz w:val="20"/>
              </w:rPr>
              <w:t xml:space="preserve"> </w:t>
            </w:r>
            <w:r>
              <w:rPr>
                <w:rFonts w:ascii="sans-serif" w:hAnsi="sans-serif"/>
                <w:b/>
                <w:color w:val="000000"/>
                <w:sz w:val="20"/>
              </w:rPr>
              <w:t>415</w:t>
            </w:r>
            <w:r>
              <w:rPr>
                <w:rFonts w:ascii="Times New Roman" w:hAnsi="Times New Roman"/>
                <w:color w:val="000000"/>
                <w:sz w:val="20"/>
              </w:rPr>
              <w:t xml:space="preserve"> </w:t>
            </w:r>
            <w:r>
              <w:rPr>
                <w:rFonts w:ascii="sans-serif" w:hAnsi="sans-serif"/>
                <w:b/>
                <w:color w:val="000000"/>
                <w:sz w:val="20"/>
              </w:rPr>
              <w:t>483-8800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sans-serif" w:hAnsi="sans-serif"/>
          <w:b/>
          <w:color w:val="000000"/>
          <w:sz w:val="15"/>
        </w:rPr>
      </w:pPr>
      <w:r>
        <w:rPr>
          <w:rFonts w:ascii="sans-serif" w:hAnsi="sans-serif"/>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sans-serif" w:hAnsi="sans-serif"/>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60" w:after="283"/>
        <w:ind w:left="0" w:right="0" w:hanging="490"/>
        <w:jc w:val="left"/>
        <w:rPr/>
      </w:pPr>
      <w:r>
        <w:rPr/>
        <w:t>☐</w:t>
      </w:r>
      <w:r>
        <w:rPr>
          <w:rFonts w:ascii="sans-serif" w:hAnsi="sans-serif"/>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sans-serif" w:hAnsi="sans-serif"/>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13e-4(c) under the Exchange Act (17 CFR 240.13e-4(c))</w:t>
      </w:r>
    </w:p>
    <w:p>
      <w:pPr>
        <w:pStyle w:val="TextBody"/>
        <w:bidi w:val="0"/>
        <w:spacing w:before="180" w:after="180"/>
        <w:jc w:val="center"/>
        <w:rPr>
          <w:rFonts w:ascii="sans-serif" w:hAnsi="sans-serif"/>
          <w:b/>
          <w:color w:val="000000"/>
          <w:sz w:val="20"/>
        </w:rPr>
      </w:pPr>
      <w:r>
        <w:rPr>
          <w:rFonts w:ascii="sans-serif" w:hAnsi="sans-serif"/>
          <w:b/>
          <w:color w:val="000000"/>
          <w:sz w:val="20"/>
        </w:rPr>
        <w:t>Securities registered pursuant to Section 12(b) of the Act:</w:t>
      </w:r>
    </w:p>
    <w:tbl>
      <w:tblPr>
        <w:tblW w:w="9925" w:type="dxa"/>
        <w:jc w:val="left"/>
        <w:tblInd w:w="0" w:type="dxa"/>
        <w:tblLayout w:type="fixed"/>
        <w:tblCellMar>
          <w:top w:w="28" w:type="dxa"/>
          <w:left w:w="28" w:type="dxa"/>
          <w:bottom w:w="28" w:type="dxa"/>
          <w:right w:w="28" w:type="dxa"/>
        </w:tblCellMar>
      </w:tblPr>
      <w:tblGrid>
        <w:gridCol w:w="3361"/>
        <w:gridCol w:w="146"/>
        <w:gridCol w:w="1201"/>
        <w:gridCol w:w="146"/>
        <w:gridCol w:w="507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Nasdaq Global Select Market</w:t>
            </w:r>
          </w:p>
        </w:tc>
      </w:tr>
    </w:tbl>
    <w:p>
      <w:pPr>
        <w:pStyle w:val="TextBody"/>
        <w:bidi w:val="0"/>
        <w:spacing w:before="240" w:after="283"/>
        <w:jc w:val="left"/>
        <w:rPr>
          <w:rFonts w:ascii="Times New Roman" w:hAnsi="Times New Roman"/>
          <w:sz w:val="20"/>
        </w:rPr>
      </w:pPr>
      <w:r>
        <w:rPr>
          <w:rFonts w:ascii="sans-serif" w:hAnsi="sans-serif"/>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sans-serif" w:hAnsi="sans-serif"/>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sans-serif" w:hAnsi="san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tbl>
      <w:tblPr>
        <w:tblW w:w="2837" w:type="dxa"/>
        <w:jc w:val="left"/>
        <w:tblInd w:w="0" w:type="dxa"/>
        <w:tblLayout w:type="fixed"/>
        <w:tblCellMar>
          <w:top w:w="28" w:type="dxa"/>
          <w:left w:w="28" w:type="dxa"/>
          <w:bottom w:w="28" w:type="dxa"/>
          <w:right w:w="28" w:type="dxa"/>
        </w:tblCellMar>
      </w:tblPr>
      <w:tblGrid>
        <w:gridCol w:w="1186"/>
        <w:gridCol w:w="1651"/>
      </w:tblGrid>
      <w:tr>
        <w:trPr/>
        <w:tc>
          <w:tcPr>
            <w:tcW w:w="11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Item 8.01</w:t>
            </w:r>
          </w:p>
        </w:tc>
        <w:tc>
          <w:tcPr>
            <w:tcW w:w="165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Other Events.</w:t>
            </w:r>
          </w:p>
        </w:tc>
      </w:tr>
    </w:tbl>
    <w:p>
      <w:pPr>
        <w:pStyle w:val="TextBody"/>
        <w:bidi w:val="0"/>
        <w:jc w:val="left"/>
        <w:rPr/>
      </w:pPr>
      <w:r>
        <w:rPr/>
        <w:t> </w:t>
      </w:r>
    </w:p>
    <w:p>
      <w:pPr>
        <w:pStyle w:val="TextBody"/>
        <w:bidi w:val="0"/>
        <w:spacing w:before="0" w:after="187"/>
        <w:jc w:val="left"/>
        <w:rPr>
          <w:rFonts w:ascii="sans-serif" w:hAnsi="sans-serif"/>
          <w:color w:val="000000"/>
          <w:sz w:val="20"/>
        </w:rPr>
      </w:pPr>
      <w:r>
        <w:rPr>
          <w:rFonts w:ascii="sans-serif" w:hAnsi="sans-serif"/>
          <w:color w:val="000000"/>
          <w:sz w:val="20"/>
        </w:rPr>
        <w:t>On August 19, 2026, Ultragenyx Pharmaceutical Inc. (“Ultragenyx” or the “Company”) announced the U.S. Food and Drug Administration (the “FDA”) granted accelerated approval for GENGLYCOS (pariglasgene brecaparvovec-opnr), also known as DTX401, in adult and pediatric patients eight years and older with glycogen storage disease type Ia (GSDIa).</w:t>
      </w:r>
    </w:p>
    <w:p>
      <w:pPr>
        <w:pStyle w:val="TextBody"/>
        <w:bidi w:val="0"/>
        <w:spacing w:before="0" w:after="187"/>
        <w:jc w:val="left"/>
        <w:rPr>
          <w:rFonts w:ascii="sans-serif" w:hAnsi="sans-serif"/>
          <w:i/>
          <w:color w:val="000000"/>
          <w:sz w:val="20"/>
        </w:rPr>
      </w:pPr>
      <w:r>
        <w:rPr>
          <w:rFonts w:ascii="sans-serif" w:hAnsi="sans-serif"/>
          <w:i/>
          <w:color w:val="000000"/>
          <w:sz w:val="20"/>
        </w:rPr>
        <w:t>Clinical Program and Post-Marketing Study Requirements Supporting Accelerated Approval of GENGLYCOS</w:t>
      </w:r>
    </w:p>
    <w:p>
      <w:pPr>
        <w:pStyle w:val="TextBody"/>
        <w:bidi w:val="0"/>
        <w:jc w:val="left"/>
        <w:rPr>
          <w:rFonts w:ascii="Times New Roman" w:hAnsi="Times New Roman"/>
          <w:sz w:val="20"/>
        </w:rPr>
      </w:pPr>
      <w:r>
        <w:rPr>
          <w:rFonts w:ascii="sans-serif" w:hAnsi="sans-serif"/>
          <w:color w:val="000000"/>
          <w:sz w:val="20"/>
        </w:rPr>
        <w:t>The approval of GENGLYCOS is based on positive data from the 48-week randomized, double-blind, placebo-controlled Phase 3 GlucoGene study which treated 46 participants aged eight years and older with DTX401 (1.0 x 10^13 GC/kg dose) or placebo, showing a reduction in the cornstarch requirements in the treated group (p&lt;0.001). There were 44 participants in the modified intention-to-treat (mITT) population providing efficacy data within the Week 48 analysis period following treatment with DTX401 (n=20) or placebo (n=24). At Week 48, eligible participants crossed over and received the alternate treatment. After crossover, participants continued to be followed, with analyses conducted at Week 96 and Week 144.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As part of accelerated approval, Ultragenyx has agreed to provide two years of safety and efficacy clinical data from open-label commercial treatment of 50 patients and 20 control patients through enhancement of its existing GSDIa Disease Monitoring Program (the “DMP”). The control group will consist of patients who sought commercial treatment but cannot be treated with GENGLYCOS due to the presence of anti-AAV8 antibodies. The study will provide more data to support the reduction in cornstarch clinical burden, fasting tolerance, and other measures in a post-marketing setting where patients can know their immediate glucose levels, and their cornstarch and diet can be managed more promptly by their physician. The DMP will also evaluate previously treated clinical trial participants as well as these new commercial patients for a total of 10 years.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sans-serif" w:hAnsi="sans-serif"/>
          <w:b/>
          <w:color w:val="000000"/>
          <w:sz w:val="20"/>
        </w:rPr>
      </w:pPr>
      <w:r>
        <w:rPr>
          <w:rFonts w:ascii="sans-serif" w:hAnsi="sans-serif"/>
          <w:b/>
          <w:color w:val="000000"/>
          <w:sz w:val="20"/>
        </w:rPr>
        <w:t>SIGNATURES</w:t>
      </w:r>
    </w:p>
    <w:p>
      <w:pPr>
        <w:pStyle w:val="TextBody"/>
        <w:bidi w:val="0"/>
        <w:spacing w:before="0" w:after="187"/>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hereunto duly authorized.</w:t>
      </w:r>
    </w:p>
    <w:tbl>
      <w:tblPr>
        <w:tblW w:w="9589" w:type="dxa"/>
        <w:jc w:val="left"/>
        <w:tblInd w:w="0" w:type="dxa"/>
        <w:tblLayout w:type="fixed"/>
        <w:tblCellMar>
          <w:top w:w="28" w:type="dxa"/>
          <w:left w:w="28" w:type="dxa"/>
          <w:bottom w:w="28" w:type="dxa"/>
          <w:right w:w="28" w:type="dxa"/>
        </w:tblCellMar>
      </w:tblPr>
      <w:tblGrid>
        <w:gridCol w:w="646"/>
        <w:gridCol w:w="1681"/>
        <w:gridCol w:w="466"/>
        <w:gridCol w:w="6796"/>
      </w:tblGrid>
      <w:tr>
        <w:trPr/>
        <w:tc>
          <w:tcPr>
            <w:tcW w:w="6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86" w:after="86"/>
              <w:jc w:val="left"/>
              <w:rPr>
                <w:rFonts w:ascii="sans-serif" w:hAnsi="sans-serif"/>
                <w:color w:val="000000"/>
                <w:sz w:val="20"/>
              </w:rPr>
            </w:pPr>
            <w:r>
              <w:rPr>
                <w:rFonts w:ascii="sans-serif" w:hAnsi="sans-serif"/>
                <w:color w:val="000000"/>
                <w:sz w:val="20"/>
              </w:rPr>
              <w:t>Ultragenyx Pharmaceutical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Date:</w:t>
            </w:r>
          </w:p>
        </w:tc>
        <w:tc>
          <w:tcPr>
            <w:tcW w:w="168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August 19, 2026</w:t>
            </w:r>
          </w:p>
        </w:tc>
        <w:tc>
          <w:tcPr>
            <w:tcW w:w="46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sans-serif" w:hAnsi="sans-serif"/>
                <w:color w:val="000000"/>
                <w:sz w:val="20"/>
              </w:rPr>
              <w:t>By:</w:t>
            </w:r>
            <w:r>
              <w:rPr>
                <w:rFonts w:ascii="Times New Roman" w:hAnsi="Times New Roman"/>
                <w:color w:val="000000"/>
                <w:sz w:val="20"/>
              </w:rPr>
              <w:t xml:space="preserve"> </w:t>
            </w:r>
          </w:p>
        </w:tc>
        <w:tc>
          <w:tcPr>
            <w:tcW w:w="67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/s/ Howard Horn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14" w:after="187"/>
              <w:jc w:val="left"/>
              <w:rPr>
                <w:rFonts w:ascii="sans-serif" w:hAnsi="sans-serif"/>
                <w:color w:val="000000"/>
                <w:sz w:val="20"/>
              </w:rPr>
            </w:pPr>
            <w:r>
              <w:rPr>
                <w:rFonts w:ascii="sans-serif" w:hAnsi="sans-serif"/>
                <w:color w:val="000000"/>
                <w:sz w:val="20"/>
              </w:rPr>
              <w:t xml:space="preserve">Howard Horn </w:t>
              <w:br/>
              <w:t>Executive Vice President, Chief Financial Officer, Corporate Strategy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645</Words>
  <Characters>3703</Characters>
  <CharactersWithSpaces>4350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